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50" w:rsidRDefault="00BB2950" w:rsidP="00BB2950">
      <w:pPr>
        <w:pStyle w:val="21"/>
        <w:spacing w:line="276" w:lineRule="auto"/>
        <w:rPr>
          <w:sz w:val="24"/>
        </w:rPr>
      </w:pPr>
      <w:r>
        <w:rPr>
          <w:rFonts w:ascii="Arial" w:hAnsi="Arial" w:cs="Arial"/>
          <w:b w:val="0"/>
          <w:bCs w:val="0"/>
          <w:noProof/>
          <w:color w:val="333333"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58420</wp:posOffset>
            </wp:positionV>
            <wp:extent cx="933450" cy="990600"/>
            <wp:effectExtent l="19050" t="0" r="0" b="0"/>
            <wp:wrapSquare wrapText="righ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 w:val="0"/>
          <w:bCs w:val="0"/>
          <w:color w:val="333333"/>
          <w:sz w:val="48"/>
          <w:szCs w:val="48"/>
        </w:rPr>
        <w:t xml:space="preserve"> </w:t>
      </w:r>
      <w:r w:rsidRPr="00067FAB">
        <w:rPr>
          <w:sz w:val="24"/>
        </w:rPr>
        <w:t>Муромская окружная организация Владимирской областной организации профсоюза работников народного образования и науки РФ</w:t>
      </w:r>
    </w:p>
    <w:p w:rsidR="00BB2950" w:rsidRDefault="00BB2950" w:rsidP="00BB2950"/>
    <w:p w:rsidR="00BB2950" w:rsidRDefault="00BB2950" w:rsidP="00BB2950"/>
    <w:p w:rsidR="00BB2950" w:rsidRDefault="00BB2950" w:rsidP="00BB2950"/>
    <w:p w:rsidR="00BB2950" w:rsidRDefault="00BB2950" w:rsidP="00BB2950">
      <w:pPr>
        <w:ind w:firstLine="993"/>
        <w:jc w:val="right"/>
        <w:rPr>
          <w:sz w:val="24"/>
        </w:rPr>
      </w:pPr>
    </w:p>
    <w:p w:rsidR="00BB2950" w:rsidRPr="00BB2950" w:rsidRDefault="00BB2950" w:rsidP="00BB2950">
      <w:pPr>
        <w:shd w:val="clear" w:color="auto" w:fill="FFFFFF"/>
        <w:spacing w:after="120" w:line="330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BB2950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Информационный бюллетень </w:t>
      </w:r>
    </w:p>
    <w:p w:rsidR="00BB2950" w:rsidRDefault="00E636F7" w:rsidP="00BB2950">
      <w:pPr>
        <w:shd w:val="clear" w:color="auto" w:fill="FFFFFF"/>
        <w:spacing w:after="120" w:line="330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Февраль</w:t>
      </w:r>
      <w:r w:rsidR="00AF6514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</w:t>
      </w:r>
      <w:r w:rsidR="00BB2950" w:rsidRPr="00BB2950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2018</w:t>
      </w:r>
    </w:p>
    <w:p w:rsidR="003F6C70" w:rsidRDefault="003F6C70" w:rsidP="00BB2950">
      <w:pPr>
        <w:shd w:val="clear" w:color="auto" w:fill="FFFFFF"/>
        <w:spacing w:after="120" w:line="330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E636F7" w:rsidRPr="00E636F7" w:rsidRDefault="00E636F7" w:rsidP="00E636F7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36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Стаж работника имеет первостепенное значение при оформлении пенсионного и социального обеспечения. Существует несколько видов стажа, подлежащих учету:</w:t>
      </w:r>
    </w:p>
    <w:p w:rsidR="00E636F7" w:rsidRPr="00E636F7" w:rsidRDefault="00E636F7" w:rsidP="00E636F7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E636F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общий трудовой;</w:t>
      </w:r>
    </w:p>
    <w:p w:rsidR="00E636F7" w:rsidRPr="00E636F7" w:rsidRDefault="00E636F7" w:rsidP="00E636F7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E636F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страховой;</w:t>
      </w:r>
    </w:p>
    <w:p w:rsidR="00E636F7" w:rsidRPr="00E636F7" w:rsidRDefault="00E636F7" w:rsidP="00E636F7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E636F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специальный;</w:t>
      </w:r>
    </w:p>
    <w:p w:rsidR="00E636F7" w:rsidRPr="00E636F7" w:rsidRDefault="00E636F7" w:rsidP="00E636F7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E636F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непрерывный.</w:t>
      </w:r>
    </w:p>
    <w:p w:rsidR="00E636F7" w:rsidRPr="00E636F7" w:rsidRDefault="00E636F7" w:rsidP="00E636F7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36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Непрерывный стаж учитывается при назначении пособий по временной нетрудоспособности.  Специальный — касается только отдельных категорий работников и учитывается при назначении </w:t>
      </w:r>
      <w:proofErr w:type="spellStart"/>
      <w:r w:rsidRPr="00E636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спецпенсий</w:t>
      </w:r>
      <w:proofErr w:type="spellEnd"/>
      <w:r w:rsidRPr="00E636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(на льготных условиях или за выслугу лет). На размер пенсионного обеспечения напрямую влияет общий трудовой стаж работника, оцениваемый для оценки пенсионных прав лиц, которые начали трудовую деятельность до 1 января 2002 года, и страховой стаж.</w:t>
      </w:r>
    </w:p>
    <w:p w:rsidR="00E636F7" w:rsidRPr="00E636F7" w:rsidRDefault="00E636F7" w:rsidP="00E636F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inherit" w:eastAsia="Times New Roman" w:hAnsi="inherit" w:cs="Arial"/>
          <w:noProof/>
          <w:color w:val="3366C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857500" cy="1285875"/>
            <wp:effectExtent l="19050" t="0" r="0" b="0"/>
            <wp:docPr id="5" name="Рисунок 5" descr="http://prof-murom.ru/wp-content/uploads/2018/08/inf_bull2108-300x135.jp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rof-murom.ru/wp-content/uploads/2018/08/inf_bull2108-300x135.jp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6F7" w:rsidRPr="00E636F7" w:rsidRDefault="00E636F7" w:rsidP="00E636F7">
      <w:pPr>
        <w:shd w:val="clear" w:color="auto" w:fill="FFFFFF"/>
        <w:spacing w:after="180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333333"/>
          <w:sz w:val="48"/>
          <w:szCs w:val="48"/>
          <w:lang w:eastAsia="ru-RU"/>
        </w:rPr>
      </w:pPr>
      <w:r w:rsidRPr="00E636F7">
        <w:rPr>
          <w:rFonts w:ascii="Arial" w:eastAsia="Times New Roman" w:hAnsi="Arial" w:cs="Arial"/>
          <w:color w:val="333333"/>
          <w:sz w:val="48"/>
          <w:szCs w:val="48"/>
          <w:lang w:eastAsia="ru-RU"/>
        </w:rPr>
        <w:t>Трудовой стаж 2017</w:t>
      </w:r>
    </w:p>
    <w:p w:rsidR="00E636F7" w:rsidRPr="00E636F7" w:rsidRDefault="00E636F7" w:rsidP="00E636F7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36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Порядок пенсионного обеспечения, действовавший ранее, основывался на учете суммарной продолжительности трудовой и иной общественно полезной деятельности. Для получения права на пенсию каждому работнику требовался минимальный трудовой стаж (стандартная норма составляла 25 лет для мужчин, 20 лет для женщин).</w:t>
      </w:r>
    </w:p>
    <w:p w:rsidR="00E636F7" w:rsidRPr="00E636F7" w:rsidRDefault="00E636F7" w:rsidP="00E636F7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36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связи с изменениями в законодательстве понятие «общий трудовой стаж» постепенно теряет актуальность, хотя и продолжает учитываться. Но роль его теперь иная. Суммарное количество отработанных лет принимается в расчет при определении величины пенсионного капитала в 2002 году — на момент вступления в силу закона №173-ФЗ, в корне изменившего принципы установления пенсий. Данные о сумме пенсионных накоплений будущего пенсионера позволяют рассчитать страховую часть пенсии.</w:t>
      </w:r>
    </w:p>
    <w:p w:rsidR="00E636F7" w:rsidRPr="00E636F7" w:rsidRDefault="00E636F7" w:rsidP="00E636F7">
      <w:pPr>
        <w:shd w:val="clear" w:color="auto" w:fill="FFFFFF"/>
        <w:spacing w:after="180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333333"/>
          <w:sz w:val="48"/>
          <w:szCs w:val="48"/>
          <w:lang w:eastAsia="ru-RU"/>
        </w:rPr>
      </w:pPr>
      <w:r w:rsidRPr="00E636F7">
        <w:rPr>
          <w:rFonts w:ascii="Arial" w:eastAsia="Times New Roman" w:hAnsi="Arial" w:cs="Arial"/>
          <w:color w:val="333333"/>
          <w:sz w:val="48"/>
          <w:szCs w:val="48"/>
          <w:lang w:eastAsia="ru-RU"/>
        </w:rPr>
        <w:t>Страховой стаж 2017</w:t>
      </w:r>
    </w:p>
    <w:p w:rsidR="00E636F7" w:rsidRPr="00E636F7" w:rsidRDefault="00E636F7" w:rsidP="00E636F7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36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Несмотря на отсутствие в актуальном законодательстве точного определения страхового стажа, в 2017 году именно он влияет на размер трудовой пенсии каждого работника. По сути, страховой стаж представляет собой суммарную продолжительность периодов работы и иной деятельности, в течение которых за гражданина уплачивались страховые взносы в ПФР (Пенсионный фонд РФ). При его расчете учитываются периоды:</w:t>
      </w:r>
    </w:p>
    <w:p w:rsidR="00E636F7" w:rsidRPr="00E636F7" w:rsidRDefault="00E636F7" w:rsidP="00E636F7">
      <w:pPr>
        <w:numPr>
          <w:ilvl w:val="0"/>
          <w:numId w:val="3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E636F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lastRenderedPageBreak/>
        <w:t>предпринимательской деятельности;</w:t>
      </w:r>
    </w:p>
    <w:p w:rsidR="00E636F7" w:rsidRPr="00E636F7" w:rsidRDefault="00E636F7" w:rsidP="00E636F7">
      <w:pPr>
        <w:numPr>
          <w:ilvl w:val="0"/>
          <w:numId w:val="3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E636F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частной адвокатской, нотариальной и иной практики;</w:t>
      </w:r>
    </w:p>
    <w:p w:rsidR="00E636F7" w:rsidRPr="00E636F7" w:rsidRDefault="00E636F7" w:rsidP="00E636F7">
      <w:pPr>
        <w:numPr>
          <w:ilvl w:val="0"/>
          <w:numId w:val="3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E636F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прохождения военной или приравненной к ней службы;</w:t>
      </w:r>
    </w:p>
    <w:p w:rsidR="00E636F7" w:rsidRPr="00E636F7" w:rsidRDefault="00E636F7" w:rsidP="00E636F7">
      <w:pPr>
        <w:numPr>
          <w:ilvl w:val="0"/>
          <w:numId w:val="3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E636F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осуществления ухода за инвалидом I группы, ребенком-инвалидом или лицом, достигшим возраста 80 лет;</w:t>
      </w:r>
    </w:p>
    <w:p w:rsidR="00E636F7" w:rsidRPr="00E636F7" w:rsidRDefault="00E636F7" w:rsidP="00E636F7">
      <w:pPr>
        <w:numPr>
          <w:ilvl w:val="0"/>
          <w:numId w:val="3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E636F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получения пособия по безработице и так далее.</w:t>
      </w:r>
    </w:p>
    <w:p w:rsidR="00E636F7" w:rsidRPr="00E636F7" w:rsidRDefault="00E636F7" w:rsidP="00E636F7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36F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Важно: Страховой стаж — сравнительно новое явление. Порядок его исчисления регламентируется Федеральным законом №400-ФЗ от 28.12.2013 и отличается от методов учета трудового стажа. Именно по этой причине сотрудники ПФР ведут отдельный учет страхового и трудового стажа.</w:t>
      </w:r>
    </w:p>
    <w:p w:rsidR="00E636F7" w:rsidRPr="00E636F7" w:rsidRDefault="00E636F7" w:rsidP="00E636F7">
      <w:pPr>
        <w:shd w:val="clear" w:color="auto" w:fill="FFFFFF"/>
        <w:spacing w:after="180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333333"/>
          <w:sz w:val="48"/>
          <w:szCs w:val="48"/>
          <w:lang w:eastAsia="ru-RU"/>
        </w:rPr>
      </w:pPr>
      <w:r w:rsidRPr="00E636F7">
        <w:rPr>
          <w:rFonts w:ascii="Arial" w:eastAsia="Times New Roman" w:hAnsi="Arial" w:cs="Arial"/>
          <w:color w:val="333333"/>
          <w:sz w:val="48"/>
          <w:szCs w:val="48"/>
          <w:lang w:eastAsia="ru-RU"/>
        </w:rPr>
        <w:t>Отпуск по уходу за ребенком: трудовой стаж 2017</w:t>
      </w:r>
    </w:p>
    <w:p w:rsidR="00E636F7" w:rsidRPr="00E636F7" w:rsidRDefault="00E636F7" w:rsidP="00E636F7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36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Чтобы правильно рассчитать трудовой стаж, нужно суммировать периоды, в течение которых гражданин работал, основываясь на записях в его трудовой книжке. Если по каким-либо причинам трудовая книжка отсутствует (утеряна, украдена и прочее), необходимо оформить дубликат. При массовой утрате документов на предприятии установлением трудового стажа работников занимается специальная комиссия.</w:t>
      </w:r>
    </w:p>
    <w:p w:rsidR="00E636F7" w:rsidRPr="00E636F7" w:rsidRDefault="00E636F7" w:rsidP="00E636F7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36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Возникает вопрос, входит ли отпуск по уходу за ребенком в трудовой стаж. В данном случае применяются все нормы трудового и пенсионного законодательства, действовавшие до 1 января 2002 года. Соответственно, учитываются периоды так называемых декретных отпусков (по беременности и родам, а также по уходу за ребенком до трех лет).</w:t>
      </w:r>
    </w:p>
    <w:p w:rsidR="00E636F7" w:rsidRPr="00E636F7" w:rsidRDefault="00E636F7" w:rsidP="00E636F7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36F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Важно: отпуск по беременности и родам оформляют только беременные женщины, в то время как отпуск по уходу за маленькими детьми могут брать не только матери, но и отцы, бабушки, дедушки и другие работающие члены семьи. В таком же порядке оформляют отпуск сотрудники, усыновившие ребенка или нескольких детей в возрасте до трех лет.</w:t>
      </w:r>
    </w:p>
    <w:p w:rsidR="00E636F7" w:rsidRPr="00E636F7" w:rsidRDefault="00E636F7" w:rsidP="00E636F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inherit" w:eastAsia="Times New Roman" w:hAnsi="inherit" w:cs="Arial"/>
          <w:noProof/>
          <w:color w:val="3366C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4048125" cy="4714875"/>
            <wp:effectExtent l="19050" t="0" r="9525" b="0"/>
            <wp:docPr id="6" name="Рисунок 6" descr="http://prof-murom.ru/wp-content/uploads/2018/08/inf_bull2108_2.jpg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rof-murom.ru/wp-content/uploads/2018/08/inf_bull2108_2.jpg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6F7" w:rsidRPr="00E636F7" w:rsidRDefault="00E636F7" w:rsidP="00E636F7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36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Не следует забывать о законодательном ограничении, действующем в отношении суммарного количества нетрудовых периодов, которые работник проводит в отпуске по уходу за ребенком. Даже если речь идет о многодетном сотруднике, в трудовой стаж в 2017 году разрешается включить не более 9 лет, в течение которых он находился в данном виде отпуска.</w:t>
      </w:r>
    </w:p>
    <w:p w:rsidR="00E636F7" w:rsidRPr="00E636F7" w:rsidRDefault="00E636F7" w:rsidP="00E636F7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36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Справка</w:t>
      </w:r>
    </w:p>
    <w:p w:rsidR="00E636F7" w:rsidRPr="00E636F7" w:rsidRDefault="00E636F7" w:rsidP="00E636F7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color w:val="333333"/>
          <w:sz w:val="48"/>
          <w:szCs w:val="48"/>
          <w:lang w:eastAsia="ru-RU"/>
        </w:rPr>
      </w:pPr>
      <w:r w:rsidRPr="00E636F7">
        <w:rPr>
          <w:rFonts w:ascii="Arial" w:eastAsia="Times New Roman" w:hAnsi="Arial" w:cs="Arial"/>
          <w:color w:val="333333"/>
          <w:sz w:val="48"/>
          <w:szCs w:val="48"/>
          <w:lang w:eastAsia="ru-RU"/>
        </w:rPr>
        <w:t>Отпуск по уходу за ребенком: страховой стаж 2017</w:t>
      </w:r>
    </w:p>
    <w:p w:rsidR="00E636F7" w:rsidRPr="00E636F7" w:rsidRDefault="00E636F7" w:rsidP="00E636F7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36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расчете страхового стажа действуют другие правила. Несмотря на то, что каждый сотрудник имеет законное право находиться в отпуске по уходу за ребенком вплоть до достижения им трех лет, страховые взносы за него выплачиваются работодателем только первые полтора года.</w:t>
      </w:r>
    </w:p>
    <w:p w:rsidR="00E636F7" w:rsidRPr="00E636F7" w:rsidRDefault="00E636F7" w:rsidP="00E636F7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36F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Страховым периодом считается лишь подкрепленная страховыми взносами половина трехлетнего отпуска. Именно она в итоге включается в страховой стаж в 2017 году.</w:t>
      </w:r>
    </w:p>
    <w:p w:rsidR="00E636F7" w:rsidRPr="00E636F7" w:rsidRDefault="00E636F7" w:rsidP="00E636F7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36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Периоды пребывания в отпуске по уходу за маленьким ребенком, на протяжении которых работодатель страховые взносы не выплачивает, не учитываются. Как и в ситуации с трудовым стажем, действуют определенные ограничения. Учитывается не более 4,5 лет суммарного нетрудового периода, проведенного в отпуске по уходу за ребенком.</w:t>
      </w:r>
    </w:p>
    <w:p w:rsidR="00E636F7" w:rsidRPr="00E636F7" w:rsidRDefault="00E636F7" w:rsidP="00E636F7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color w:val="333333"/>
          <w:sz w:val="48"/>
          <w:szCs w:val="48"/>
          <w:lang w:eastAsia="ru-RU"/>
        </w:rPr>
      </w:pPr>
      <w:r w:rsidRPr="00E636F7">
        <w:rPr>
          <w:rFonts w:ascii="Arial" w:eastAsia="Times New Roman" w:hAnsi="Arial" w:cs="Arial"/>
          <w:color w:val="333333"/>
          <w:sz w:val="48"/>
          <w:szCs w:val="48"/>
          <w:lang w:eastAsia="ru-RU"/>
        </w:rPr>
        <w:t>Досрочный выход на пенсию: учитывается ли отпуск по уходу за ребенком</w:t>
      </w:r>
    </w:p>
    <w:p w:rsidR="00E636F7" w:rsidRPr="00E636F7" w:rsidRDefault="00E636F7" w:rsidP="00E636F7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36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Представители отдельных категорий работников вправе выйти на пенсию досрочно. Речь идет о специалистах, вынужденных трудиться во вредных или опасных условиях труда, выполнять тяжелые виды работ. Возникает закономерный вопрос: включается ли в пенсионный стаж отпуск по уходу за ребенком, если сотрудник хочет досрочно уйти на заслуженный отдых.</w:t>
      </w:r>
    </w:p>
    <w:p w:rsidR="00E636F7" w:rsidRPr="00E636F7" w:rsidRDefault="00E636F7" w:rsidP="00E636F7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36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Периоды отпуска, оформленного матерью или другим родственником для ухода за ребенком, не включаются в страховой стаж, необходимый для понижения возрастного ценза выхода на пенсию. А вот с </w:t>
      </w:r>
      <w:proofErr w:type="gramStart"/>
      <w:r w:rsidRPr="00E636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трудовым</w:t>
      </w:r>
      <w:proofErr w:type="gramEnd"/>
      <w:r w:rsidRPr="00E636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все не так однозначно. Принципиальное значение обретают временные рамки: если начало отпуска выпадает на период до 06.10.1992, он учитывается при исчислении необходимого для получения льготной пенсии </w:t>
      </w:r>
      <w:proofErr w:type="spellStart"/>
      <w:r w:rsidRPr="00E636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спецстажа</w:t>
      </w:r>
      <w:proofErr w:type="spellEnd"/>
      <w:r w:rsidRPr="00E636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соответствии с действовавшими на тот момент законодательными нормами.</w:t>
      </w:r>
    </w:p>
    <w:p w:rsidR="00E636F7" w:rsidRPr="00E636F7" w:rsidRDefault="00E636F7" w:rsidP="00E636F7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36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Данное правило распространяется как на сотрудников вредных или опасных для жизни и здоровья производств, так и на работников Крайнего Севера и приравненных к нему местностей. Оформленный в период с 06.10.1992 по 31.12.2001 отпуск, хоть и учитывается при исчислении трудового стажа в 2017 году, но в </w:t>
      </w:r>
      <w:proofErr w:type="spellStart"/>
      <w:r w:rsidRPr="00E636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спецстаж</w:t>
      </w:r>
      <w:proofErr w:type="spellEnd"/>
      <w:r w:rsidRPr="00E636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не входит.</w:t>
      </w:r>
    </w:p>
    <w:p w:rsidR="00E636F7" w:rsidRPr="00E636F7" w:rsidRDefault="00E636F7" w:rsidP="00E636F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36F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Важно: основным документом, подтверждающим периоды работы </w:t>
      </w:r>
      <w:r w:rsidRPr="00E636F7">
        <w:rPr>
          <w:rFonts w:ascii="inherit" w:eastAsia="Times New Roman" w:hAnsi="inherit" w:cs="Arial"/>
          <w:b/>
          <w:bCs/>
          <w:i/>
          <w:iCs/>
          <w:color w:val="333333"/>
          <w:sz w:val="21"/>
          <w:lang w:eastAsia="ru-RU"/>
        </w:rPr>
        <w:t>в опасных и вредных условиях</w:t>
      </w:r>
      <w:r w:rsidRPr="00E636F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, все еще остается </w:t>
      </w:r>
      <w:r w:rsidRPr="00E636F7">
        <w:rPr>
          <w:rFonts w:ascii="inherit" w:eastAsia="Times New Roman" w:hAnsi="inherit" w:cs="Arial"/>
          <w:b/>
          <w:bCs/>
          <w:i/>
          <w:iCs/>
          <w:color w:val="333333"/>
          <w:sz w:val="21"/>
          <w:lang w:eastAsia="ru-RU"/>
        </w:rPr>
        <w:t>трудовая книжка</w:t>
      </w:r>
      <w:r w:rsidRPr="00E636F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. Наименования профессий и должностей, обеспечивающих право досрочного выхода на пенсию, должны вноситься в трудовую книжку  без ошибок, в точном соответствии с ЕТКС (Единым тарифно-квалификационным справочником работ и профессий рабочих).</w:t>
      </w:r>
    </w:p>
    <w:p w:rsidR="00E636F7" w:rsidRPr="00E636F7" w:rsidRDefault="00E636F7" w:rsidP="00E636F7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36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некоторых случаях вместе с трудовой книжкой предъявляется выданная работодателем уточняющая справка, которая подтверждает постоянную занятость на определенных видах работ:</w:t>
      </w:r>
    </w:p>
    <w:p w:rsidR="00E636F7" w:rsidRPr="00E636F7" w:rsidRDefault="00E636F7" w:rsidP="00E636F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inherit" w:eastAsia="Times New Roman" w:hAnsi="inherit" w:cs="Arial"/>
          <w:noProof/>
          <w:color w:val="3366CC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667250" cy="2686050"/>
            <wp:effectExtent l="19050" t="0" r="0" b="0"/>
            <wp:docPr id="7" name="Рисунок 7" descr="http://prof-murom.ru/wp-content/uploads/2018/08/inf_bull2108_3.jpg">
              <a:hlinkClick xmlns:a="http://schemas.openxmlformats.org/drawingml/2006/main" r:id="rId1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of-murom.ru/wp-content/uploads/2018/08/inf_bull2108_3.jpg">
                      <a:hlinkClick r:id="rId1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6F7" w:rsidRPr="00E636F7" w:rsidRDefault="00E636F7" w:rsidP="00E636F7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color w:val="333333"/>
          <w:sz w:val="48"/>
          <w:szCs w:val="48"/>
          <w:lang w:eastAsia="ru-RU"/>
        </w:rPr>
      </w:pPr>
      <w:r w:rsidRPr="00E636F7">
        <w:rPr>
          <w:rFonts w:ascii="Arial" w:eastAsia="Times New Roman" w:hAnsi="Arial" w:cs="Arial"/>
          <w:color w:val="333333"/>
          <w:sz w:val="48"/>
          <w:szCs w:val="48"/>
          <w:lang w:eastAsia="ru-RU"/>
        </w:rPr>
        <w:t>Учет отпуска по уходу за ребенком при исчислении служебного стажа</w:t>
      </w:r>
    </w:p>
    <w:p w:rsidR="00E636F7" w:rsidRPr="00E636F7" w:rsidRDefault="00E636F7" w:rsidP="00E636F7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36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назначения пенсии военным или гражданским государственным служащим подсчитывается служебный стаж. На сегодняшний день военнослужащие-контрактники, ставшие отцами, не могут брать отпуск по уходу за ребенком, если его мать способна выполнять родительские функции (возможно, в скором времени ситуация изменится — если будет утвержден соответствующий законопроект). Но сейчас лишь женщины-военнослужащие вправе уходить в декрет на обычных условиях.</w:t>
      </w:r>
    </w:p>
    <w:p w:rsidR="00E636F7" w:rsidRPr="00E636F7" w:rsidRDefault="00E636F7" w:rsidP="00E636F7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36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Когда приходит время выхода на пенсию, первые полтора года отпуска </w:t>
      </w:r>
      <w:r w:rsidRPr="00E636F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по уходу за ребенком до трех лет</w:t>
      </w:r>
      <w:r w:rsidRPr="00E636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включаются в служебный стаж. Данное правило распространяется и на сотрудников:</w:t>
      </w:r>
    </w:p>
    <w:p w:rsidR="00E636F7" w:rsidRPr="00E636F7" w:rsidRDefault="00E636F7" w:rsidP="00E636F7">
      <w:pPr>
        <w:numPr>
          <w:ilvl w:val="0"/>
          <w:numId w:val="4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E636F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правоохранительных органов;</w:t>
      </w:r>
    </w:p>
    <w:p w:rsidR="00E636F7" w:rsidRPr="00E636F7" w:rsidRDefault="00E636F7" w:rsidP="00E636F7">
      <w:pPr>
        <w:numPr>
          <w:ilvl w:val="0"/>
          <w:numId w:val="4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E636F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таможенной службы;</w:t>
      </w:r>
    </w:p>
    <w:p w:rsidR="00E636F7" w:rsidRPr="00E636F7" w:rsidRDefault="00E636F7" w:rsidP="00E636F7">
      <w:pPr>
        <w:numPr>
          <w:ilvl w:val="0"/>
          <w:numId w:val="4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E636F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государственной противопожарной службы;</w:t>
      </w:r>
    </w:p>
    <w:p w:rsidR="00E636F7" w:rsidRPr="00E636F7" w:rsidRDefault="00E636F7" w:rsidP="00E636F7">
      <w:pPr>
        <w:numPr>
          <w:ilvl w:val="0"/>
          <w:numId w:val="4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E636F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уголовно-исполнительной системы.</w:t>
      </w:r>
    </w:p>
    <w:p w:rsidR="00E636F7" w:rsidRPr="00E636F7" w:rsidRDefault="00E636F7" w:rsidP="00E636F7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36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Разница с военнослужащими состоит лишь в том, что брать отпуск для ухода за маленьким ребенком могут все — независимо от пола. Аналогичным образом исчисляется стаж гражданской службы: отпуск по уходу за ребенком учитывается при назначении пенсии служащим органов исполнительной власти, судебных инстанций, министерств и других государственных ведомств.</w:t>
      </w:r>
    </w:p>
    <w:p w:rsidR="00E636F7" w:rsidRPr="00E636F7" w:rsidRDefault="00E636F7" w:rsidP="00E636F7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36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Справка</w:t>
      </w:r>
    </w:p>
    <w:p w:rsidR="00E636F7" w:rsidRPr="00E636F7" w:rsidRDefault="00E636F7" w:rsidP="00E636F7">
      <w:pPr>
        <w:shd w:val="clear" w:color="auto" w:fill="FFFFFF"/>
        <w:spacing w:after="180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333333"/>
          <w:sz w:val="48"/>
          <w:szCs w:val="48"/>
          <w:lang w:eastAsia="ru-RU"/>
        </w:rPr>
      </w:pPr>
      <w:r w:rsidRPr="00E636F7">
        <w:rPr>
          <w:rFonts w:ascii="Arial" w:eastAsia="Times New Roman" w:hAnsi="Arial" w:cs="Arial"/>
          <w:color w:val="333333"/>
          <w:sz w:val="48"/>
          <w:szCs w:val="48"/>
          <w:lang w:eastAsia="ru-RU"/>
        </w:rPr>
        <w:t>Педагогический стаж и «декрет»</w:t>
      </w:r>
    </w:p>
    <w:p w:rsidR="00E636F7" w:rsidRPr="00E636F7" w:rsidRDefault="00E636F7" w:rsidP="00E636F7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36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Педагогический стаж — одна из разновидностей специального трудового стажа. Он исчисляется как суммарная продолжительность работы в образовательных учреждениях на должностях, непосредственно связанных с учебным процессом.</w:t>
      </w:r>
    </w:p>
    <w:p w:rsidR="00E636F7" w:rsidRPr="00E636F7" w:rsidRDefault="00E636F7" w:rsidP="00E636F7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36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Расчет педагогического стажа, влияющего на срок наступления пенсии и размер пенсионного обеспечения, происходит по аналогии с другими видами </w:t>
      </w:r>
      <w:proofErr w:type="spellStart"/>
      <w:r w:rsidRPr="00E636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спецстажа</w:t>
      </w:r>
      <w:proofErr w:type="spellEnd"/>
      <w:r w:rsidRPr="00E636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Из каждого оформленного педагогом отпуска по уходу за ребенком до трех лет учитываются только первые полтора года, максимальная сумма таких периодов ограничивается 4,5 годами.</w:t>
      </w:r>
    </w:p>
    <w:p w:rsidR="00E636F7" w:rsidRPr="00E636F7" w:rsidRDefault="00E636F7" w:rsidP="00E636F7">
      <w:pPr>
        <w:shd w:val="clear" w:color="auto" w:fill="FFFFFF"/>
        <w:spacing w:after="180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333333"/>
          <w:sz w:val="48"/>
          <w:szCs w:val="48"/>
          <w:lang w:eastAsia="ru-RU"/>
        </w:rPr>
      </w:pPr>
      <w:r w:rsidRPr="00E636F7">
        <w:rPr>
          <w:rFonts w:ascii="Arial" w:eastAsia="Times New Roman" w:hAnsi="Arial" w:cs="Arial"/>
          <w:color w:val="333333"/>
          <w:sz w:val="48"/>
          <w:szCs w:val="48"/>
          <w:lang w:eastAsia="ru-RU"/>
        </w:rPr>
        <w:t>Документы, подтверждающие страховой стаж</w:t>
      </w:r>
    </w:p>
    <w:p w:rsidR="00E636F7" w:rsidRPr="00E636F7" w:rsidRDefault="00E636F7" w:rsidP="00E636F7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36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Порядок подтверждения стажа регламентируется Правилами подсчета и подтверждения страхового стажа для установления страховых пенсий, утвержденными постановлением Правительства РФ от 02.10.2014 № 1015 и действующими с 01.01.2015. Согласно Правилам необходимо документально подтвердить факт пребывания работника в отпуске по уходу за ребенком. С момента его регистрации в качестве застрахованного лица основным доказательством служат документы об уплате страховых взносов.</w:t>
      </w:r>
    </w:p>
    <w:p w:rsidR="00E636F7" w:rsidRPr="00E636F7" w:rsidRDefault="00E636F7" w:rsidP="00E636F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inherit" w:eastAsia="Times New Roman" w:hAnsi="inherit" w:cs="Arial"/>
          <w:noProof/>
          <w:color w:val="3366C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5457825" cy="4105275"/>
            <wp:effectExtent l="19050" t="0" r="9525" b="0"/>
            <wp:docPr id="8" name="Рисунок 8" descr="http://prof-murom.ru/wp-content/uploads/2018/08/inf_bull2108_4.jpg">
              <a:hlinkClick xmlns:a="http://schemas.openxmlformats.org/drawingml/2006/main" r:id="rId1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rof-murom.ru/wp-content/uploads/2018/08/inf_bull2108_4.jpg">
                      <a:hlinkClick r:id="rId1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6F7" w:rsidRPr="00E636F7" w:rsidRDefault="00E636F7" w:rsidP="00E636F7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36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Периоды отпуска, оформленного до регистрации в системе индивидуального (персонифицированного) учета, подтверждаются документами, удостоверяющими рождение ребенка и достижением им возраста полутора лет. Это может быть свидетельство о рождении, паспорт, выданная жилищными органами справка о совместном проживании с родителем ребенка до достижения полуторагодовалого возраста и так далее.</w:t>
      </w:r>
    </w:p>
    <w:p w:rsidR="00E636F7" w:rsidRPr="00E636F7" w:rsidRDefault="00E636F7" w:rsidP="00E636F7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36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Поскольку отпуск по уходу за ребенком должен засчитываться только одному из родителей, необходимо сообщить сведения о втором родителе. Проводится проверка, призванная подтвердить, что период ухода за данным ребенком не засчитан в страховой стаж второго родителя.</w:t>
      </w:r>
    </w:p>
    <w:p w:rsidR="009A32C6" w:rsidRDefault="009A32C6" w:rsidP="00BB2950">
      <w:pPr>
        <w:shd w:val="clear" w:color="auto" w:fill="FFFFFF"/>
        <w:spacing w:after="120" w:line="330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BB2950" w:rsidRPr="00BB2950" w:rsidRDefault="00BB2950" w:rsidP="00BB29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sectPr w:rsidR="00BB2950" w:rsidRPr="00BB2950" w:rsidSect="00BB295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9107A"/>
    <w:multiLevelType w:val="multilevel"/>
    <w:tmpl w:val="569E7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2B2A70"/>
    <w:multiLevelType w:val="multilevel"/>
    <w:tmpl w:val="859A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0EC081F"/>
    <w:multiLevelType w:val="multilevel"/>
    <w:tmpl w:val="6C98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4D873DA"/>
    <w:multiLevelType w:val="multilevel"/>
    <w:tmpl w:val="AAB0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950"/>
    <w:rsid w:val="003F6C70"/>
    <w:rsid w:val="005F6D39"/>
    <w:rsid w:val="00834880"/>
    <w:rsid w:val="009A32C6"/>
    <w:rsid w:val="00AF6514"/>
    <w:rsid w:val="00BB2950"/>
    <w:rsid w:val="00C365AC"/>
    <w:rsid w:val="00E63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80"/>
  </w:style>
  <w:style w:type="paragraph" w:styleId="2">
    <w:name w:val="heading 2"/>
    <w:basedOn w:val="a"/>
    <w:link w:val="20"/>
    <w:uiPriority w:val="9"/>
    <w:qFormat/>
    <w:rsid w:val="00BB29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29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B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295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2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950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semiHidden/>
    <w:unhideWhenUsed/>
    <w:rsid w:val="00BB2950"/>
    <w:pPr>
      <w:spacing w:after="0" w:line="360" w:lineRule="auto"/>
      <w:ind w:firstLine="902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BB29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Emphasis"/>
    <w:basedOn w:val="a0"/>
    <w:uiPriority w:val="20"/>
    <w:qFormat/>
    <w:rsid w:val="00E636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-murom.ru/wp-content/uploads/2018/08/inf_bull2108_2.jpg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prof-murom.ru/wp-content/uploads/2018/08/inf_bull2108_4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f-murom.ru/wp-content/uploads/2018/08/inf_bull2108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prof-murom.ru/wp-content/uploads/2018/08/inf_bull2108_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2</cp:revision>
  <dcterms:created xsi:type="dcterms:W3CDTF">2019-02-12T12:26:00Z</dcterms:created>
  <dcterms:modified xsi:type="dcterms:W3CDTF">2019-02-12T12:26:00Z</dcterms:modified>
</cp:coreProperties>
</file>